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版本号：240703002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南区1#、2#宿舍楼维修改造（公寓外立面靓化）项目</w:t>
      </w:r>
    </w:p>
    <w:p>
      <w:pPr>
        <w:pStyle w:val="null3"/>
        <w:jc w:val="center"/>
        <w:outlineLvl w:val="2"/>
      </w:pPr>
      <w:r>
        <w:rPr>
          <w:sz w:val="28"/>
          <w:b/>
        </w:rPr>
        <w:t>采购项目编号：</w:t>
      </w:r>
      <w:r>
        <w:rPr>
          <w:sz w:val="28"/>
          <w:b/>
        </w:rPr>
        <w:t>【KRDL】K3-2406068</w:t>
      </w:r>
      <w:r>
        <w:br/>
      </w:r>
      <w:r>
        <w:br/>
      </w:r>
      <w:r>
        <w:br/>
      </w:r>
    </w:p>
    <w:p>
      <w:pPr>
        <w:pStyle w:val="null3"/>
        <w:jc w:val="center"/>
        <w:outlineLvl w:val="2"/>
      </w:pPr>
      <w:r>
        <w:rPr>
          <w:sz w:val="28"/>
          <w:b/>
        </w:rPr>
        <w:t>陕西理工大学</w:t>
      </w:r>
    </w:p>
    <w:p>
      <w:pPr>
        <w:pStyle w:val="null3"/>
        <w:jc w:val="center"/>
        <w:outlineLvl w:val="2"/>
      </w:pPr>
      <w:r>
        <w:rPr>
          <w:sz w:val="28"/>
          <w:b/>
        </w:rPr>
        <w:t>开瑞项目管理有限公司</w:t>
      </w:r>
      <w:r>
        <w:rPr>
          <w:sz w:val="28"/>
          <w:b/>
        </w:rPr>
        <w:t>共同编制</w:t>
      </w:r>
    </w:p>
    <w:p>
      <w:pPr>
        <w:pStyle w:val="null3"/>
        <w:jc w:val="center"/>
        <w:outlineLvl w:val="2"/>
      </w:pPr>
      <w:r>
        <w:rPr>
          <w:sz w:val="28"/>
          <w:b/>
        </w:rPr>
        <w:t>2024年07月03日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开瑞项目管理有限公司</w:t>
      </w:r>
      <w:r>
        <w:rPr/>
        <w:t>（以下简称“代理机构”）受</w:t>
      </w:r>
      <w:r>
        <w:rPr/>
        <w:t>陕西理工大学</w:t>
      </w:r>
      <w:r>
        <w:rPr/>
        <w:t>委托，拟对</w:t>
      </w:r>
      <w:r>
        <w:rPr/>
        <w:t>南区1#、2#宿舍楼维修改造（公寓外立面靓化）项目</w:t>
      </w:r>
      <w:r>
        <w:rPr/>
        <w:t>采用竞争性磋商采购方式进行采购，兹邀请供应商参加本项目的竞争性磋商。</w:t>
      </w:r>
    </w:p>
    <w:p>
      <w:pPr>
        <w:pStyle w:val="null3"/>
        <w:outlineLvl w:val="2"/>
      </w:pPr>
      <w:r>
        <w:rPr>
          <w:sz w:val="28"/>
          <w:b/>
        </w:rPr>
        <w:t>一、采购项目编号：</w:t>
      </w:r>
      <w:r>
        <w:rPr>
          <w:sz w:val="28"/>
          <w:b/>
        </w:rPr>
        <w:t>【KRDL】K3-2406068</w:t>
      </w:r>
    </w:p>
    <w:p>
      <w:pPr>
        <w:pStyle w:val="null3"/>
        <w:outlineLvl w:val="2"/>
      </w:pPr>
      <w:r>
        <w:rPr>
          <w:sz w:val="28"/>
          <w:b/>
        </w:rPr>
        <w:t>二、采购项目名称：</w:t>
      </w:r>
      <w:r>
        <w:rPr>
          <w:sz w:val="28"/>
          <w:b/>
        </w:rPr>
        <w:t>南区1#、2#宿舍楼维修改造（公寓外立面靓化）项目</w:t>
      </w:r>
    </w:p>
    <w:p>
      <w:pPr>
        <w:pStyle w:val="null3"/>
        <w:outlineLvl w:val="2"/>
      </w:pPr>
      <w:r>
        <w:rPr>
          <w:sz w:val="28"/>
          <w:b/>
        </w:rPr>
        <w:t>三、磋商项目简介</w:t>
      </w:r>
    </w:p>
    <w:p>
      <w:pPr>
        <w:pStyle w:val="null3"/>
        <w:ind w:firstLine="480"/>
      </w:pPr>
      <w:r>
        <w:rPr/>
        <w:t>陕西理工大学南区1#、2#宿舍楼维修改造（公寓外立面靓化）项目，本工程为南校区1#、2#学生宿舍公寓楼二~四层公区的改造提升及1#、2#学生公寓楼外立面装饰工程，具体工程内容详见磋商文件、工程量清单及图纸。</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采购包1（陕西理工大学南区1#、2#宿舍楼维修改造（公寓外立面靓化）项目）：属于专门面向中小企业采购。</w:t>
      </w:r>
    </w:p>
    <w:p>
      <w:pPr>
        <w:pStyle w:val="null3"/>
        <w:ind w:firstLine="480"/>
      </w:pPr>
      <w:r>
        <w:rPr/>
        <w:t>（三）本项目的特定资格要求：</w:t>
      </w:r>
    </w:p>
    <w:p>
      <w:pPr>
        <w:pStyle w:val="null3"/>
      </w:pPr>
      <w:r>
        <w:rPr/>
        <w:t>采购包1：</w:t>
      </w:r>
    </w:p>
    <w:p>
      <w:pPr>
        <w:pStyle w:val="null3"/>
      </w:pPr>
      <w:r>
        <w:rPr/>
        <w:t>1、营业执照：供应商为向采购人提供工程及相应服务的法人或其他组织</w:t>
      </w:r>
    </w:p>
    <w:p>
      <w:pPr>
        <w:pStyle w:val="null3"/>
      </w:pPr>
      <w:r>
        <w:rPr/>
        <w:t>2、企业资质及安全生产许可证：供应商具备建设行政主管部门颁发合法有效的建筑工程施工总承包三级（含）以上资质，并具备有效的安全生产许可证，且在人员、设备、资金等方面具备相应施工能力</w:t>
      </w:r>
    </w:p>
    <w:p>
      <w:pPr>
        <w:pStyle w:val="null3"/>
      </w:pPr>
      <w:r>
        <w:rPr/>
        <w:t>3、拟派项目负责人资质和专业要求：供应商拟派项目负责人须具备建筑工程专业二级（含）以上注册建造师执业资格及安全生产考核合格证（B证），且未担任其他在建工程项目的项目负责人</w:t>
      </w:r>
    </w:p>
    <w:p>
      <w:pPr>
        <w:pStyle w:val="null3"/>
      </w:pPr>
      <w:r>
        <w:rPr/>
        <w:t>4、信用资格要求：截止至响应文件递交截止时间之前，供应商未在“信用中国”网站中被列入“信用服务”查询栏目中严重失信主体名单以及重点领域严重失信主体名单；供应商未在“国家企业信用信息公示系统”中被列入严重违法失信名单（黑名单）</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陕西理工大学</w:t>
      </w:r>
    </w:p>
    <w:p>
      <w:pPr>
        <w:pStyle w:val="null3"/>
      </w:pPr>
      <w:r>
        <w:rPr/>
        <w:t xml:space="preserve"> 地址： </w:t>
      </w:r>
      <w:r>
        <w:rPr/>
        <w:t>汉中市汉台区东一环路1号</w:t>
      </w:r>
    </w:p>
    <w:p>
      <w:pPr>
        <w:pStyle w:val="null3"/>
      </w:pPr>
      <w:r>
        <w:rPr/>
        <w:t xml:space="preserve"> 邮编： </w:t>
      </w:r>
      <w:r>
        <w:rPr/>
        <w:t>723099</w:t>
      </w:r>
    </w:p>
    <w:p>
      <w:pPr>
        <w:pStyle w:val="null3"/>
      </w:pPr>
      <w:r>
        <w:rPr/>
        <w:t xml:space="preserve"> 联系人： </w:t>
      </w:r>
      <w:r>
        <w:rPr/>
        <w:t>陕西理工大学经办</w:t>
      </w:r>
    </w:p>
    <w:p>
      <w:pPr>
        <w:pStyle w:val="null3"/>
      </w:pPr>
      <w:r>
        <w:rPr/>
        <w:t xml:space="preserve"> 联系电话： </w:t>
      </w:r>
      <w:r>
        <w:rPr/>
        <w:t>0916-2641657</w:t>
      </w:r>
    </w:p>
    <w:p>
      <w:pPr>
        <w:pStyle w:val="null3"/>
        <w:outlineLvl w:val="3"/>
      </w:pPr>
      <w:r>
        <w:rPr>
          <w:sz w:val="24"/>
          <w:b/>
        </w:rPr>
        <w:t>代理机构：</w:t>
      </w:r>
      <w:r>
        <w:rPr>
          <w:sz w:val="24"/>
          <w:b/>
        </w:rPr>
        <w:t>开瑞项目管理有限公司</w:t>
      </w:r>
    </w:p>
    <w:p>
      <w:pPr>
        <w:pStyle w:val="null3"/>
      </w:pPr>
      <w:r>
        <w:rPr/>
        <w:t xml:space="preserve"> 地址： </w:t>
      </w:r>
      <w:r>
        <w:rPr/>
        <w:t>陕西省西安市莲湖区高新二路1号招商银行大厦19层</w:t>
      </w:r>
    </w:p>
    <w:p>
      <w:pPr>
        <w:pStyle w:val="null3"/>
      </w:pPr>
      <w:r>
        <w:rPr/>
        <w:t xml:space="preserve"> 邮编： </w:t>
      </w:r>
      <w:r>
        <w:rPr/>
        <w:t>710000</w:t>
      </w:r>
    </w:p>
    <w:p>
      <w:pPr>
        <w:pStyle w:val="null3"/>
      </w:pPr>
      <w:r>
        <w:rPr/>
        <w:t xml:space="preserve"> 联系人： </w:t>
      </w:r>
      <w:r>
        <w:rPr/>
        <w:t>马玉娇</w:t>
      </w:r>
    </w:p>
    <w:p>
      <w:pPr>
        <w:pStyle w:val="null3"/>
      </w:pPr>
      <w:r>
        <w:rPr/>
        <w:t xml:space="preserve"> 联系电话： </w:t>
      </w:r>
      <w:r>
        <w:rPr/>
        <w:t>15109119970</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采购包1：1,203,500.00元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无</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无</w:t>
            </w:r>
            <w:r>
              <w:rPr/>
              <w:t>产品属于节能产品政府采购品目清单中应优先采购的产品范围，本项目采购</w:t>
            </w:r>
            <w:r>
              <w:rPr/>
              <w:t>无</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采购包1保证金金额：20,000.00元</w:t>
            </w:r>
          </w:p>
          <w:p>
            <w:pPr>
              <w:pStyle w:val="null3"/>
            </w:pPr>
            <w:r>
              <w:rPr/>
              <w:t>缴交渠道：转账、支票、汇票等（需通过实体账户、户名及开户行信息）</w:t>
            </w:r>
          </w:p>
          <w:p>
            <w:pPr>
              <w:pStyle w:val="null3"/>
            </w:pPr>
            <w:r>
              <w:rPr/>
              <w:t>开户名称：开瑞项目管理有限公司</w:t>
            </w:r>
          </w:p>
          <w:p>
            <w:pPr>
              <w:pStyle w:val="null3"/>
            </w:pPr>
            <w:r>
              <w:rPr/>
              <w:t>开户银行：招商银行股份有限公司陕西自贸试验区西安高新科技支行</w:t>
            </w:r>
          </w:p>
          <w:p>
            <w:pPr>
              <w:pStyle w:val="null3"/>
            </w:pPr>
            <w:r>
              <w:rPr/>
              <w:t>银行账号：129905724510808</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本采购包履约保证金为合同金额的3.0%</w:t>
            </w:r>
          </w:p>
          <w:p>
            <w:pPr>
              <w:pStyle w:val="null3"/>
            </w:pPr>
            <w:r>
              <w:rPr/>
              <w:t>说明：成交供应商在签订合同前须向采购人交纳中标金额的3%做为履约担保。</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代理服务费收费标准：1.由成交供应商按国家计委颁发的《采购代理服务收费管理暂行办法》（计价格[2002]1980号）和国家发展改革委员会办公厅颁发的《关于采购代理服务收费有关问题的通知》（发改办价格[2003] 857号）的有关规定标准，向采购代理机构一次付清代理服务费。 2.磋商保证金在转账过程中应备注项目简称或项目编号。</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陕西理工大学</w:t>
      </w:r>
      <w:r>
        <w:rPr/>
        <w:t>和</w:t>
      </w:r>
      <w:r>
        <w:rPr/>
        <w:t>开瑞项目管理有限公司</w:t>
      </w:r>
      <w:r>
        <w:rPr/>
        <w:t>享有。对磋商文件中供应商参加本次政府采购活动应当具备的条件，磋商项目技术、服务、商务及其他要求，评审细则及标准由</w:t>
      </w:r>
      <w:r>
        <w:rPr/>
        <w:t>陕西理工大学</w:t>
      </w:r>
      <w:r>
        <w:rPr/>
        <w:t>负责解释。除上述磋商文件内容，其他内容由</w:t>
      </w:r>
      <w:r>
        <w:rPr/>
        <w:t>开瑞项目管理有限公司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陕西理工大学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开瑞项目管理有限公司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采购包1：项目单价</w:t>
      </w:r>
    </w:p>
    <w:p>
      <w:pPr>
        <w:pStyle w:val="null3"/>
      </w:pPr>
      <w:r>
        <w:rPr/>
        <w:t>项目单价。</w:t>
      </w:r>
    </w:p>
    <w:p>
      <w:pPr>
        <w:pStyle w:val="null3"/>
      </w:pPr>
      <w:r>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t>供应商提交的已标价工程量清单应符合本项目工程量清单以及清单说明的要求。当供应商的已标价工程量清单有下列情形之一的，应按照无效响应文件处理。</w:t>
      </w:r>
    </w:p>
    <w:p>
      <w:pPr>
        <w:pStyle w:val="null3"/>
      </w:pPr>
      <w:r>
        <w:rPr/>
        <w:t>（一）供应商对工程量清单中的分部分项工程量清单项目（说明：根据建筑、水利、交通等确定具体表述）的单价未填报或填报为零的，视为未完全响应工程量清单，作无效处理；</w:t>
      </w:r>
    </w:p>
    <w:p>
      <w:pPr>
        <w:pStyle w:val="null3"/>
      </w:pPr>
      <w:r>
        <w:rPr/>
        <w:t>（二）已标价工程量清单的项目编码、项目名称、项目特征（与采购人提供的工程量清单中的项目特征的实质性内容一致的除外）、计量单位、工程量与采购人提供的工程量清单不一致的；</w:t>
      </w:r>
    </w:p>
    <w:p>
      <w:pPr>
        <w:pStyle w:val="null3"/>
      </w:pPr>
      <w:r>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t>（四）采购文件已明确各单位工程规费金额并要求按此金额填报而供应商填报错误或未填报的，或供应商未按相关计价规定计取规费的；</w:t>
      </w:r>
    </w:p>
    <w:p>
      <w:pPr>
        <w:pStyle w:val="null3"/>
      </w:pPr>
      <w:r>
        <w:rPr/>
        <w:t>（五）采购文件若已明确创优质工程奖补偿奖励费金额并要求按此金额填报而供应商填报错误或未填报的；</w:t>
      </w:r>
    </w:p>
    <w:p>
      <w:pPr>
        <w:pStyle w:val="null3"/>
      </w:pPr>
      <w:r>
        <w:rPr/>
        <w:t>（六）已标价工程量清单中暂列金额未按工程量清单中列明的金额填报的；</w:t>
      </w:r>
    </w:p>
    <w:p>
      <w:pPr>
        <w:pStyle w:val="null3"/>
      </w:pPr>
      <w:r>
        <w:rPr/>
        <w:t>（七）已标价工程量清单中材料、工程设备暂估价未按工程量清单中列出的单价计入综合单价的；</w:t>
      </w:r>
    </w:p>
    <w:p>
      <w:pPr>
        <w:pStyle w:val="null3"/>
      </w:pPr>
      <w:r>
        <w:rPr/>
        <w:t>（八）已标价工程量清单中专业工程暂估价未按工程量清单中列明的金额填写的；</w:t>
      </w:r>
    </w:p>
    <w:p>
      <w:pPr>
        <w:pStyle w:val="null3"/>
      </w:pPr>
      <w:r>
        <w:rPr/>
        <w:t>（九）已标价工程量清单中计日工未按工程量清单中列明的数量进行报价的；</w:t>
      </w:r>
    </w:p>
    <w:p>
      <w:pPr>
        <w:pStyle w:val="null3"/>
      </w:pPr>
      <w:r>
        <w:rPr/>
        <w:t>（十）单价、合价或总价，不论其大写金额或小写金额均只能有一个，否则，作无效处理。</w:t>
      </w:r>
    </w:p>
    <w:p>
      <w:pPr>
        <w:pStyle w:val="null3"/>
      </w:pPr>
      <w:r>
        <w:rPr/>
        <w:t>若供应商的最后报价只有一个总价，则供应商应当提交相应调整部分的报价构成及明细，并结合首次报价提供的已标价工程量清单，重新计算总报价。</w:t>
      </w:r>
    </w:p>
    <w:p>
      <w:pPr>
        <w:pStyle w:val="null3"/>
      </w:pPr>
      <w:r>
        <w:rPr/>
        <w:t>供应商报价超过政府采购预算或最高限价（金额详见“供应商须知前附表”）的，其响应文件按无效处理。</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详见拟签订的合同文本</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开瑞项目管理有限公司</w:t>
      </w:r>
      <w:r>
        <w:rPr/>
        <w:t xml:space="preserve"> 负责答复；供应商对采购过程的询问、质疑由</w:t>
      </w:r>
      <w:r>
        <w:rPr/>
        <w:t>开瑞项目管理有限公司</w:t>
      </w:r>
      <w:r>
        <w:rPr/>
        <w:t xml:space="preserve"> 负责答复；供应商对采购结果的询问、质疑由 </w:t>
      </w:r>
      <w:r>
        <w:rPr/>
        <w:t>开瑞项目管理有限公司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联系人：马工</w:t>
      </w:r>
    </w:p>
    <w:p>
      <w:pPr>
        <w:pStyle w:val="null3"/>
      </w:pPr>
      <w:r>
        <w:rPr/>
        <w:t>联系电话：15109119970</w:t>
      </w:r>
    </w:p>
    <w:p>
      <w:pPr>
        <w:pStyle w:val="null3"/>
      </w:pPr>
      <w:r>
        <w:rPr/>
        <w:t>地址：陕西省西安市莲湖区高新二路1号招商银行大厦19层</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1,203,500.00</w:t>
      </w:r>
    </w:p>
    <w:p>
      <w:pPr>
        <w:pStyle w:val="null3"/>
      </w:pPr>
      <w:r>
        <w:rPr/>
        <w:t>采购包最高限价（元）: 1,203,232.52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宿舍楼维修改造</w:t>
            </w:r>
          </w:p>
        </w:tc>
        <w:tc>
          <w:tcPr>
            <w:tcW w:type="dxa" w:w="1384"/>
          </w:tcPr>
          <w:p>
            <w:pPr>
              <w:pStyle w:val="null3"/>
              <w:jc w:val="right"/>
            </w:pPr>
            <w:r>
              <w:rPr/>
              <w:t>1.00</w:t>
            </w:r>
          </w:p>
        </w:tc>
        <w:tc>
          <w:tcPr>
            <w:tcW w:type="dxa" w:w="1384"/>
          </w:tcPr>
          <w:p>
            <w:pPr>
              <w:pStyle w:val="null3"/>
              <w:jc w:val="right"/>
            </w:pPr>
            <w:r>
              <w:rPr/>
              <w:t>1,203,500.00</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标的名称：宿舍楼维修改造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calibri" w:hAnsi="calibri" w:cs="calibri" w:eastAsia="calibri"/>
                <w:sz w:val="21"/>
              </w:rPr>
              <w:t>一、项目概况</w:t>
            </w:r>
          </w:p>
          <w:p>
            <w:pPr>
              <w:pStyle w:val="null3"/>
            </w:pPr>
            <w:r>
              <w:rPr>
                <w:rFonts w:ascii="calibri" w:hAnsi="calibri" w:cs="calibri" w:eastAsia="calibri"/>
                <w:sz w:val="21"/>
              </w:rPr>
              <w:t>本工程为南校区1#、2#学生宿舍公寓楼二~四层公区的改造提升及1#、2#学生公寓楼外立面装饰工程，具体工程内容详见竞争性磋商文件、工程量清单。</w:t>
            </w:r>
          </w:p>
          <w:p>
            <w:pPr>
              <w:pStyle w:val="null3"/>
            </w:pPr>
            <w:r>
              <w:rPr>
                <w:rFonts w:ascii="calibri" w:hAnsi="calibri" w:cs="calibri" w:eastAsia="calibri"/>
                <w:sz w:val="21"/>
              </w:rPr>
              <w:t>二、工程技术标准及要求</w:t>
            </w:r>
          </w:p>
          <w:p>
            <w:pPr>
              <w:pStyle w:val="null3"/>
            </w:pPr>
            <w:r>
              <w:rPr>
                <w:rFonts w:ascii="calibri" w:hAnsi="calibri" w:cs="calibri" w:eastAsia="calibri"/>
                <w:sz w:val="21"/>
              </w:rPr>
              <w:t>1.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pPr>
            <w:r>
              <w:rPr>
                <w:rFonts w:ascii="calibri" w:hAnsi="calibri" w:cs="calibri" w:eastAsia="calibri"/>
                <w:sz w:val="21"/>
              </w:rPr>
              <w:t>2.本工程其他技术标准及要求执行现行规范和采购人实际需求。</w:t>
            </w:r>
          </w:p>
          <w:p>
            <w:pPr>
              <w:pStyle w:val="null3"/>
            </w:pPr>
            <w:r>
              <w:rPr>
                <w:rFonts w:ascii="calibri" w:hAnsi="calibri" w:cs="calibri" w:eastAsia="calibri"/>
                <w:sz w:val="21"/>
              </w:rPr>
              <w:t>3.在施工过程中，如果国家或有关部门颁布了新的技术部分准或规范，则甲方应采用新的标准或规范进行施工。</w:t>
            </w:r>
          </w:p>
          <w:p>
            <w:pPr>
              <w:pStyle w:val="null3"/>
            </w:pPr>
            <w:r>
              <w:rPr>
                <w:rFonts w:ascii="calibri" w:hAnsi="calibri" w:cs="calibri" w:eastAsia="calibri"/>
                <w:sz w:val="21"/>
              </w:rPr>
              <w:t>4.采购人提供工程的施工方案和相关技术文件，是采购人现有的能被供应商利用的资料，采购人对供应商做出的任何推论、理解均不负责任。</w:t>
            </w:r>
          </w:p>
          <w:p>
            <w:pPr>
              <w:pStyle w:val="null3"/>
            </w:pPr>
            <w:r>
              <w:rPr>
                <w:rFonts w:ascii="calibri" w:hAnsi="calibri" w:cs="calibri" w:eastAsia="calibri"/>
                <w:sz w:val="21"/>
              </w:rPr>
              <w:t>5.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合格（达到国家强制性合格标准）</w:t>
      </w:r>
    </w:p>
    <w:p>
      <w:pPr>
        <w:pStyle w:val="null3"/>
        <w:ind w:firstLine="480"/>
      </w:pPr>
      <w:r>
        <w:rPr/>
        <w:t>三、针对本项目的其他技术服务要求：</w:t>
      </w:r>
    </w:p>
    <w:p>
      <w:pPr>
        <w:pStyle w:val="null3"/>
      </w:pPr>
      <w:r>
        <w:rPr/>
        <w:t>1.工期：自合同签订之日起40日历天； 2.质量要求：合格（达到国家强制性合格标准）； 3.质保期：自验收合格之日起2年；4.本项目最高限价为1203232.52元（含暂列金50000元）。</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工程进度款结算与支付 1.承包人工程量完成进行到70%后，发包人支付至合同价减去未发生的暂列金额的50%； 2.工程竣工验收合格，报齐结算资料后付至合同价减去未发生的暂列金额的80%（包含已支付的安全文明施工措施费）； 3.发包人或经发包人委托的第三方,对承包人提交的工程结算进行审核后,发包人依据工程结算审核结果金额，在一个月内一次性支付至工程审核价的97%，承包人持《终验合格单》原件和全额发票在发包人处办理此项工程款；剩余结算审核总价款的 3% 作为质量保证金。 4. 自竣工验收合格之日起24个月后，在无索赔争议的情况下，由发包人组织、承包人参与共同对工程质保情况现场核验，核验无问题后，承包人在发包人处办理剩余3%工程款（质量保证金）的支付手续，一次性不计利息返还。</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响应文件封面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承诺书</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承诺书 供应商应提交的相关资格证明材料(1)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供应商为向采购人提供工程及相应服务的法人或其他组织</w:t>
            </w:r>
          </w:p>
        </w:tc>
        <w:tc>
          <w:tcPr>
            <w:tcW w:type="dxa" w:w="1661"/>
          </w:tcPr>
          <w:p>
            <w:pPr>
              <w:pStyle w:val="null3"/>
            </w:pPr>
            <w:r>
              <w:rPr/>
              <w:t>承诺书 供应商应提交的相关资格证明材料(1) 响应函</w:t>
            </w:r>
          </w:p>
        </w:tc>
      </w:tr>
      <w:tr>
        <w:tc>
          <w:tcPr>
            <w:tcW w:type="dxa" w:w="831"/>
          </w:tcPr>
          <w:p>
            <w:pPr>
              <w:pStyle w:val="null3"/>
            </w:pPr>
            <w:r>
              <w:rPr/>
              <w:t>2</w:t>
            </w:r>
          </w:p>
        </w:tc>
        <w:tc>
          <w:tcPr>
            <w:tcW w:type="dxa" w:w="2492"/>
          </w:tcPr>
          <w:p>
            <w:pPr>
              <w:pStyle w:val="null3"/>
            </w:pPr>
            <w:r>
              <w:rPr/>
              <w:t>企业资质及安全生产许可证</w:t>
            </w:r>
          </w:p>
        </w:tc>
        <w:tc>
          <w:tcPr>
            <w:tcW w:type="dxa" w:w="3322"/>
          </w:tcPr>
          <w:p>
            <w:pPr>
              <w:pStyle w:val="null3"/>
            </w:pPr>
            <w:r>
              <w:rPr/>
              <w:t>供应商具备建设行政主管部门颁发合法有效的建筑工程施工总承包三级（含）以上资质，并具备有效的安全生产许可证，且在人员、设备、资金等方面具备相应施工能力</w:t>
            </w:r>
          </w:p>
        </w:tc>
        <w:tc>
          <w:tcPr>
            <w:tcW w:type="dxa" w:w="1661"/>
          </w:tcPr>
          <w:p>
            <w:pPr>
              <w:pStyle w:val="null3"/>
            </w:pPr>
            <w:r>
              <w:rPr/>
              <w:t>供应商应提交的相关资格证明材料(1) 响应函</w:t>
            </w:r>
          </w:p>
        </w:tc>
      </w:tr>
      <w:tr>
        <w:tc>
          <w:tcPr>
            <w:tcW w:type="dxa" w:w="831"/>
          </w:tcPr>
          <w:p>
            <w:pPr>
              <w:pStyle w:val="null3"/>
            </w:pPr>
            <w:r>
              <w:rPr/>
              <w:t>3</w:t>
            </w:r>
          </w:p>
        </w:tc>
        <w:tc>
          <w:tcPr>
            <w:tcW w:type="dxa" w:w="2492"/>
          </w:tcPr>
          <w:p>
            <w:pPr>
              <w:pStyle w:val="null3"/>
            </w:pPr>
            <w:r>
              <w:rPr/>
              <w:t>拟派项目负责人资质和专业要求</w:t>
            </w:r>
          </w:p>
        </w:tc>
        <w:tc>
          <w:tcPr>
            <w:tcW w:type="dxa" w:w="3322"/>
          </w:tcPr>
          <w:p>
            <w:pPr>
              <w:pStyle w:val="null3"/>
            </w:pPr>
            <w:r>
              <w:rPr/>
              <w:t>供应商拟派项目负责人须具备建筑工程专业二级（含）以上注册建造师执业资格及安全生产考核合格证（B证），且未担任其他在建工程项目的项目负责人</w:t>
            </w:r>
          </w:p>
        </w:tc>
        <w:tc>
          <w:tcPr>
            <w:tcW w:type="dxa" w:w="1661"/>
          </w:tcPr>
          <w:p>
            <w:pPr>
              <w:pStyle w:val="null3"/>
            </w:pPr>
            <w:r>
              <w:rPr/>
              <w:t>响应函 主要人员简历表</w:t>
            </w:r>
          </w:p>
        </w:tc>
      </w:tr>
      <w:tr>
        <w:tc>
          <w:tcPr>
            <w:tcW w:type="dxa" w:w="831"/>
          </w:tcPr>
          <w:p>
            <w:pPr>
              <w:pStyle w:val="null3"/>
            </w:pPr>
            <w:r>
              <w:rPr/>
              <w:t>4</w:t>
            </w:r>
          </w:p>
        </w:tc>
        <w:tc>
          <w:tcPr>
            <w:tcW w:type="dxa" w:w="2492"/>
          </w:tcPr>
          <w:p>
            <w:pPr>
              <w:pStyle w:val="null3"/>
            </w:pPr>
            <w:r>
              <w:rPr/>
              <w:t>信用资格要求</w:t>
            </w:r>
          </w:p>
        </w:tc>
        <w:tc>
          <w:tcPr>
            <w:tcW w:type="dxa" w:w="3322"/>
          </w:tcPr>
          <w:p>
            <w:pPr>
              <w:pStyle w:val="null3"/>
            </w:pPr>
            <w:r>
              <w:rPr/>
              <w:t>截止至响应文件递交截止时间之前，供应商未在“信用中国”网站中被列入“信用服务”查询栏目中严重失信主体名单以及重点领域严重失信主体名单；供应商未在“国家企业信用信息公示系统”中被列入严重违法失信名单（黑名单）</w:t>
            </w:r>
          </w:p>
        </w:tc>
        <w:tc>
          <w:tcPr>
            <w:tcW w:type="dxa" w:w="1661"/>
          </w:tcPr>
          <w:p>
            <w:pPr>
              <w:pStyle w:val="null3"/>
            </w:pPr>
            <w:r>
              <w:rPr/>
              <w:t>承诺书 响应函</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响应文件按竞争性磋商文件要求签署、盖章</w:t>
            </w:r>
          </w:p>
        </w:tc>
        <w:tc>
          <w:tcPr>
            <w:tcW w:type="dxa" w:w="3322"/>
          </w:tcPr>
          <w:p>
            <w:pPr>
              <w:pStyle w:val="null3"/>
            </w:pPr>
            <w:r>
              <w:rPr/>
              <w:t>响应文件按竞争性磋商文件要求签署、盖章</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磋商报价未超过竞争性磋商文件中规定的最高限价</w:t>
            </w:r>
          </w:p>
        </w:tc>
        <w:tc>
          <w:tcPr>
            <w:tcW w:type="dxa" w:w="3322"/>
          </w:tcPr>
          <w:p>
            <w:pPr>
              <w:pStyle w:val="null3"/>
            </w:pPr>
            <w:r>
              <w:rPr/>
              <w:t>磋商报价未超过竞争性磋商文件中规定的最高限价</w:t>
            </w:r>
          </w:p>
        </w:tc>
        <w:tc>
          <w:tcPr>
            <w:tcW w:type="dxa" w:w="1661"/>
          </w:tcPr>
          <w:p>
            <w:pPr>
              <w:pStyle w:val="null3"/>
            </w:pPr>
            <w:r>
              <w:rPr/>
              <w:t>响应文件封面 报价函 标的清单</w:t>
            </w:r>
          </w:p>
        </w:tc>
      </w:tr>
      <w:tr>
        <w:tc>
          <w:tcPr>
            <w:tcW w:type="dxa" w:w="831"/>
          </w:tcPr>
          <w:p>
            <w:pPr>
              <w:pStyle w:val="null3"/>
            </w:pPr>
            <w:r>
              <w:rPr/>
              <w:t>4</w:t>
            </w:r>
          </w:p>
        </w:tc>
        <w:tc>
          <w:tcPr>
            <w:tcW w:type="dxa" w:w="249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3322"/>
          </w:tcPr>
          <w:p>
            <w:pPr>
              <w:pStyle w:val="null3"/>
            </w:pPr>
            <w:r>
              <w:rPr/>
              <w:t>磋商响应文件不得含有采购人不能接受的附加条件并需满足本竞争性磋商文件中实质性要求。采购需求应逐条响应在服务内容及服务邀请应答表中，商务要求应逐条响应在商务应答表中</w:t>
            </w:r>
          </w:p>
        </w:tc>
        <w:tc>
          <w:tcPr>
            <w:tcW w:type="dxa" w:w="1661"/>
          </w:tcPr>
          <w:p>
            <w:pPr>
              <w:pStyle w:val="null3"/>
            </w:pPr>
            <w:r>
              <w:rPr/>
              <w:t>响应文件封面 已标价工程量清单 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企业业绩</w:t>
            </w:r>
          </w:p>
        </w:tc>
        <w:tc>
          <w:tcPr>
            <w:tcW w:type="dxa" w:w="2492"/>
          </w:tcPr>
          <w:p>
            <w:pPr>
              <w:pStyle w:val="null3"/>
            </w:pPr>
            <w:r>
              <w:rPr/>
              <w:t>供应商提供自2021年7月1日至今承接过的类似业绩证明材料，每提供1项得3分，最多得9分。 评审依据：以中标通知书及合同为准，须在磋商响应文件中附扫描件加盖单位公章，以合同签订时间所体现的时间为准。</w:t>
            </w:r>
          </w:p>
        </w:tc>
        <w:tc>
          <w:tcPr>
            <w:tcW w:type="dxa" w:w="831"/>
          </w:tcPr>
          <w:p>
            <w:pPr>
              <w:pStyle w:val="null3"/>
              <w:jc w:val="right"/>
            </w:pPr>
            <w:r>
              <w:rPr/>
              <w:t>9.0000</w:t>
            </w:r>
          </w:p>
        </w:tc>
        <w:tc>
          <w:tcPr>
            <w:tcW w:type="dxa" w:w="831"/>
          </w:tcPr>
          <w:p>
            <w:pPr>
              <w:pStyle w:val="null3"/>
            </w:pPr>
            <w:r>
              <w:rPr/>
              <w:t>客观</w:t>
            </w:r>
          </w:p>
        </w:tc>
        <w:tc>
          <w:tcPr>
            <w:tcW w:type="dxa" w:w="1661"/>
          </w:tcPr>
          <w:p>
            <w:pPr>
              <w:pStyle w:val="null3"/>
            </w:pPr>
            <w:r>
              <w:rPr/>
              <w:t>供应商类似项目业绩一览表</w:t>
            </w:r>
          </w:p>
        </w:tc>
      </w:tr>
      <w:tr>
        <w:tc>
          <w:tcPr>
            <w:tcW w:type="dxa" w:w="831"/>
            <w:vMerge/>
          </w:tcPr>
          <w:p/>
        </w:tc>
        <w:tc>
          <w:tcPr>
            <w:tcW w:type="dxa" w:w="1661"/>
          </w:tcPr>
          <w:p>
            <w:pPr>
              <w:pStyle w:val="null3"/>
            </w:pPr>
            <w:r>
              <w:rPr/>
              <w:t>拟派项目经理</w:t>
            </w:r>
          </w:p>
        </w:tc>
        <w:tc>
          <w:tcPr>
            <w:tcW w:type="dxa" w:w="2492"/>
          </w:tcPr>
          <w:p>
            <w:pPr>
              <w:pStyle w:val="null3"/>
            </w:pPr>
            <w:r>
              <w:rPr/>
              <w:t>1.拟派项目经理的职称（2分） 拟派项目经理具备高级职称得2分，中级职称得1分，其余情况不得分。 评审依据：评审时以供应商提供的拟派项目经理的职称证扫描件或复印件并加盖供应商公章为准。 2.拟派项目经理业绩（4分） 供应商提供拟派项目经理自2021年7月1日以来至今已完成的类似工程项目业绩证明材料的（在该项目中担任项目经理一职）每提供1项得2分，最多得4分。 评审依据：以业绩合同扫描件或复印件加盖供应商公章，以合同签订时间所体现的时间为准，合同中应体现的项目经理姓名。</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主要人员简历表</w:t>
            </w:r>
          </w:p>
        </w:tc>
      </w:tr>
      <w:tr>
        <w:tc>
          <w:tcPr>
            <w:tcW w:type="dxa" w:w="831"/>
            <w:vMerge/>
          </w:tcPr>
          <w:p/>
        </w:tc>
        <w:tc>
          <w:tcPr>
            <w:tcW w:type="dxa" w:w="1661"/>
          </w:tcPr>
          <w:p>
            <w:pPr>
              <w:pStyle w:val="null3"/>
            </w:pPr>
            <w:r>
              <w:rPr/>
              <w:t>施工组织设计1</w:t>
            </w:r>
          </w:p>
        </w:tc>
        <w:tc>
          <w:tcPr>
            <w:tcW w:type="dxa" w:w="2492"/>
          </w:tcPr>
          <w:p>
            <w:pPr>
              <w:pStyle w:val="null3"/>
            </w:pPr>
            <w:r>
              <w:rPr/>
              <w:t>施工方案： 方案中对项目重点、难点理解准确且保证措施全面、科学、针对性强得6.1-8分； 方案有一定的可行性，基本满足项目要求，具有一定的合理性、针对性得3.1-6分； 方案基本可行，合理性、针对性较差的得1.0-3.0分； 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施工组织设计2</w:t>
            </w:r>
          </w:p>
        </w:tc>
        <w:tc>
          <w:tcPr>
            <w:tcW w:type="dxa" w:w="2492"/>
          </w:tcPr>
          <w:p>
            <w:pPr>
              <w:pStyle w:val="null3"/>
            </w:pPr>
            <w:r>
              <w:rPr/>
              <w:t>确保工程质量的技术组织措施： 工程质量的技术组织措施科学合理、满足项目要求，合理性、针对性强得6.1-8分； 工程质量的技术组织措施有一定的可行性，基本满足项目要求，具有一定的合理性、针对性得3.1-6.0分； 工程质量的技术组织措施基本可行，合理性、针对性较差的得1.0-3.0分； 未提供的得0分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施工组织设计3</w:t>
            </w:r>
          </w:p>
        </w:tc>
        <w:tc>
          <w:tcPr>
            <w:tcW w:type="dxa" w:w="2492"/>
          </w:tcPr>
          <w:p>
            <w:pPr>
              <w:pStyle w:val="null3"/>
            </w:pPr>
            <w:r>
              <w:rPr/>
              <w:t>确保安全生产的技术组织措施： 安全生产的技术组织措施科学合理、满足项目要求，合理性、针对性强得3.1-5.0分； 安全生产的技术组织措施基本可行，合理性、针对性有欠缺得2.1-3.0分； 安全生产的技术组织措施基本可行，合理性、针对性较差的得1.0-2.0分；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实施方案</w:t>
            </w:r>
          </w:p>
        </w:tc>
      </w:tr>
      <w:tr>
        <w:tc>
          <w:tcPr>
            <w:tcW w:type="dxa" w:w="831"/>
            <w:vMerge/>
          </w:tcPr>
          <w:p/>
        </w:tc>
        <w:tc>
          <w:tcPr>
            <w:tcW w:type="dxa" w:w="1661"/>
          </w:tcPr>
          <w:p>
            <w:pPr>
              <w:pStyle w:val="null3"/>
            </w:pPr>
            <w:r>
              <w:rPr/>
              <w:t>施工组织设计4</w:t>
            </w:r>
          </w:p>
        </w:tc>
        <w:tc>
          <w:tcPr>
            <w:tcW w:type="dxa" w:w="2492"/>
          </w:tcPr>
          <w:p>
            <w:pPr>
              <w:pStyle w:val="null3"/>
            </w:pPr>
            <w:r>
              <w:rPr/>
              <w:t>确保文明施工的技术组织措施及环境保护措施：措施科学合理、满足项目要求，合理性、针对性强得4.1-6.0分；措施基本可行，合理性、针对性有欠缺的得2.0-4.0分；措施基本可行，合理性、针对性较差的得1.0-2.0分；未提供的得0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施工组织设计5</w:t>
            </w:r>
          </w:p>
        </w:tc>
        <w:tc>
          <w:tcPr>
            <w:tcW w:type="dxa" w:w="2492"/>
          </w:tcPr>
          <w:p>
            <w:pPr>
              <w:pStyle w:val="null3"/>
            </w:pPr>
            <w:r>
              <w:rPr/>
              <w:t>确保工期的技术组织措施： 方案措施满足项目要求，合理性、针对性强得3.1-5.0分； 方案措施基本可行，合理性、针对性有欠缺的得2.1-3.0分； 方案措施基本可行，合理性、针对性较差的得1.0-2.0分； 未提供的得0分。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实施方案</w:t>
            </w:r>
          </w:p>
          <w:p>
            <w:pPr>
              <w:pStyle w:val="null3"/>
            </w:pPr>
            <w:r>
              <w:rPr/>
              <w:t>技术服务合同条款及其他商务要求应答表</w:t>
            </w:r>
          </w:p>
        </w:tc>
      </w:tr>
      <w:tr>
        <w:tc>
          <w:tcPr>
            <w:tcW w:type="dxa" w:w="831"/>
            <w:vMerge/>
          </w:tcPr>
          <w:p/>
        </w:tc>
        <w:tc>
          <w:tcPr>
            <w:tcW w:type="dxa" w:w="1661"/>
          </w:tcPr>
          <w:p>
            <w:pPr>
              <w:pStyle w:val="null3"/>
            </w:pPr>
            <w:r>
              <w:rPr/>
              <w:t>施工组织设计6</w:t>
            </w:r>
          </w:p>
        </w:tc>
        <w:tc>
          <w:tcPr>
            <w:tcW w:type="dxa" w:w="2492"/>
          </w:tcPr>
          <w:p>
            <w:pPr>
              <w:pStyle w:val="null3"/>
            </w:pPr>
            <w:r>
              <w:rPr/>
              <w:t>施工机械配备和材料投入计划： 拟投入机械配备和材料齐全、先进、稳定性高，能确满足项目要求得3.1-4分； 拟投入机械配备和材料较齐全，适配度较高，能满足项目要求得2.1-3.0分； 拟投入机械配备和材料基本齐全，适配度稍有欠缺，基本满足项目要求得1.0-2.0分； 未提供的得0分。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p>
            <w:pPr>
              <w:pStyle w:val="null3"/>
            </w:pPr>
            <w:r>
              <w:rPr/>
              <w:t>主要材料、设备表</w:t>
            </w:r>
          </w:p>
          <w:p>
            <w:pPr>
              <w:pStyle w:val="null3"/>
            </w:pPr>
            <w:r>
              <w:rPr/>
              <w:t>技术服务合同条款及其他商务要求应答表</w:t>
            </w:r>
          </w:p>
          <w:p>
            <w:pPr>
              <w:pStyle w:val="null3"/>
            </w:pPr>
            <w:r>
              <w:rPr/>
              <w:t>强制优先采购产品承诺函</w:t>
            </w:r>
          </w:p>
        </w:tc>
      </w:tr>
      <w:tr>
        <w:tc>
          <w:tcPr>
            <w:tcW w:type="dxa" w:w="831"/>
            <w:vMerge/>
          </w:tcPr>
          <w:p/>
        </w:tc>
        <w:tc>
          <w:tcPr>
            <w:tcW w:type="dxa" w:w="1661"/>
          </w:tcPr>
          <w:p>
            <w:pPr>
              <w:pStyle w:val="null3"/>
            </w:pPr>
            <w:r>
              <w:rPr/>
              <w:t>施工组织设计7</w:t>
            </w:r>
          </w:p>
        </w:tc>
        <w:tc>
          <w:tcPr>
            <w:tcW w:type="dxa" w:w="2492"/>
          </w:tcPr>
          <w:p>
            <w:pPr>
              <w:pStyle w:val="null3"/>
            </w:pPr>
            <w:r>
              <w:rPr/>
              <w:t>施工进度表或施工网络图： 科学合理、满足项目要求，针对性强得2.1-3.0分； 基本满足项目要求得1.0-2.0分； 未提供的得0分。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施工组织设计8</w:t>
            </w:r>
          </w:p>
        </w:tc>
        <w:tc>
          <w:tcPr>
            <w:tcW w:type="dxa" w:w="2492"/>
          </w:tcPr>
          <w:p>
            <w:pPr>
              <w:pStyle w:val="null3"/>
            </w:pPr>
            <w:r>
              <w:rPr/>
              <w:t>除项目经理、技术负责人以外的人员劳动力安排计划： 人员安排合理清晰，专业性强，经验丰富，能完全满足本项目使用需求得3.1-4分； 人员安排基本合理，具有一定的专业性和经验，能基本满足本项目使用需求得2.1-3.0分； 人员安排简单，专业性和类似经验不足，部分满足本项目使用需求得1.0-2.0分； 未提供的不计分；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项目管理机构组成表</w:t>
            </w:r>
          </w:p>
          <w:p>
            <w:pPr>
              <w:pStyle w:val="null3"/>
            </w:pPr>
            <w:r>
              <w:rPr/>
              <w:t>实施方案</w:t>
            </w:r>
          </w:p>
        </w:tc>
      </w:tr>
      <w:tr>
        <w:tc>
          <w:tcPr>
            <w:tcW w:type="dxa" w:w="831"/>
            <w:vMerge/>
          </w:tcPr>
          <w:p/>
        </w:tc>
        <w:tc>
          <w:tcPr>
            <w:tcW w:type="dxa" w:w="1661"/>
          </w:tcPr>
          <w:p>
            <w:pPr>
              <w:pStyle w:val="null3"/>
            </w:pPr>
            <w:r>
              <w:rPr/>
              <w:t>施工组织设计9</w:t>
            </w:r>
          </w:p>
        </w:tc>
        <w:tc>
          <w:tcPr>
            <w:tcW w:type="dxa" w:w="2492"/>
          </w:tcPr>
          <w:p>
            <w:pPr>
              <w:pStyle w:val="null3"/>
            </w:pPr>
            <w:r>
              <w:rPr/>
              <w:t>施工成本计划及保证措施： 措施科学合理、满足项目要求，合理性、针对性强得3.1-4分； 措施有一定的可行性，基本满足项目要求，具有一定的合理性、针对性得2.1-3.0分； 措施基本可行，合理性、针对性较差的得1.0-2.0分； 未提供的得0分。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实施方案</w:t>
            </w:r>
          </w:p>
        </w:tc>
      </w:tr>
      <w:tr>
        <w:tc>
          <w:tcPr>
            <w:tcW w:type="dxa" w:w="831"/>
            <w:vMerge/>
          </w:tcPr>
          <w:p/>
        </w:tc>
        <w:tc>
          <w:tcPr>
            <w:tcW w:type="dxa" w:w="1661"/>
          </w:tcPr>
          <w:p>
            <w:pPr>
              <w:pStyle w:val="null3"/>
            </w:pPr>
            <w:r>
              <w:rPr/>
              <w:t>拟投入本项目的主要材料</w:t>
            </w:r>
          </w:p>
        </w:tc>
        <w:tc>
          <w:tcPr>
            <w:tcW w:type="dxa" w:w="2492"/>
          </w:tcPr>
          <w:p>
            <w:pPr>
              <w:pStyle w:val="null3"/>
            </w:pPr>
            <w:r>
              <w:rPr/>
              <w:t>提供主材产品的质量证明材料及功能证明材料（包括但不限于有效期内所投产品的检测报告、产品官网截图、产品的认证证书或数据文件等技术资料）。 主材品牌、规格、型号、数量、产地及生产厂家，明确详细且所报品牌具有市场认知度，相关材料齐全计5.1-8.0分； 缺少部分证明材料或相关材料明确程度一般计3.1-5.0分； 主材信息部分缺失或未提供证明材料或仅提供个别证明材料或相关材料无法佐证所投产品计1.0-3.0分； 主材无品牌、规格、型号计0分。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实施方案</w:t>
            </w:r>
          </w:p>
          <w:p>
            <w:pPr>
              <w:pStyle w:val="null3"/>
            </w:pPr>
            <w:r>
              <w:rPr/>
              <w:t>主要材料、设备表</w:t>
            </w:r>
          </w:p>
          <w:p>
            <w:pPr>
              <w:pStyle w:val="null3"/>
            </w:pPr>
            <w:r>
              <w:rPr/>
              <w:t>供应商类似项目业绩一览表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经资格审查、符合性审查合格的响应文件，其竞争性磋商报价为有效报价。 评审基准价：即满足竞争性磋商文件要求且最终竞争性磋商报价最低的竞争性磋商报价为评审基准价。 其他供应商的价格分统一按照下列公式计算。竞争性磋商报价得分=(评审基准价／最后磋商报价)×30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详见附件：实施方案</w:t>
      </w:r>
    </w:p>
    <w:p>
      <w:pPr>
        <w:pStyle w:val="null3"/>
        <w:ind w:firstLine="960"/>
      </w:pPr>
      <w:r>
        <w:rPr/>
        <w:t>详见附件：供应商应提交的相关资格证明材料(1)</w:t>
      </w:r>
    </w:p>
    <w:p>
      <w:pPr>
        <w:pStyle w:val="null3"/>
        <w:ind w:firstLine="960"/>
      </w:pPr>
      <w:r>
        <w:rPr/>
        <w:t>详见附件：承诺书</w:t>
      </w:r>
    </w:p>
    <w:p>
      <w:pPr>
        <w:pStyle w:val="null3"/>
        <w:ind w:firstLine="960"/>
      </w:pPr>
      <w:r>
        <w:rPr/>
        <w:t>详见附件：主要材料、设备表</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详见附件：0702拟签订的合同文本.docx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